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Sindaco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Linee programmatiche di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Indirizzi generali e obiettivi strategici in materia di prevenzione della corruzione e di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Direttive e indirizzi in ordine al funzionamento e all'attivita'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Nomina e 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Designazione e revoca dei rappresentanti del Comune presso enti, aziende e istituzioni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Nomina Organismo di valutazione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Coordinamento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Ordinanze in qualita'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Costituzione di ufficio posto alle dirette dipendenze del sindaco ai sensi dell'art. 90, TUEL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Accordi integrativi o sostitutivi del provvedimento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Attribuzione e revoca incarichi al personale dirigente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Indirizzi generali e obiettivi strategici in materia di prevenzione della corruzione e di trasparenza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Direttive e indirizzi in ordine al funzionamento e all'attivita' amministrativa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Nomina e revoca assessori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Nomina Segretario generale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Designazione e revoca dei rappresentanti del Comune presso enti, aziende e istituzioni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Nomina Organismo di valutazione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Coordinamento Assessori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Ordinanze in qualita' di Ufficiale di governo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Accesso art. 43, co. 2 del T.U.E.L. da parte dei consiglieri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Costituzione di ufficio posto alle dirette dipendenze del sindaco ai sensi dell'art. 90, TUEL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Linee programmatiche di mandato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Accordi integrativi o sostitutivi del provvedimento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